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sz w:val="40"/>
          <w:szCs w:val="40"/>
        </w:rPr>
        <w:t xml:space="preserve">DOT DRUG AND ALCOHOL TESTING POLICY</w:t>
      </w:r>
    </w:p>
    <w:p>
      <w:pPr>
        <w:spacing w:after="400"/>
        <w:jc w:val="center"/>
      </w:pPr>
      <w:r>
        <w:rPr>
          <w:sz w:val="26"/>
          <w:szCs w:val="26"/>
        </w:rPr>
        <w:t xml:space="preserve">[Your Company Name] — Pursuant to 49 CFR Parts 40 and 382</w:t>
      </w:r>
    </w:p>
    <w:p>
      <w:pPr>
        <w:spacing w:after="120"/>
      </w:pPr>
      <w:r>
        <w:t xml:space="preserve">Effective date: ______________________</w:t>
      </w:r>
    </w:p>
    <w:p>
      <w:pPr>
        <w:spacing w:after="120"/>
      </w:pPr>
      <w:r>
        <w:t xml:space="preserve">Designated Employer Representative (DER): ______________________    Phone: ______________________</w:t>
      </w:r>
    </w:p>
    <w:p>
      <w:pPr>
        <w:spacing w:after="120"/>
      </w:pPr>
      <w:r>
        <w:t xml:space="preserve">Consortium / Third-Party Administrator (C/TPA): ______________________  Phone: ______________________</w:t>
      </w:r>
    </w:p>
    <w:p>
      <w:pPr>
        <w:spacing w:after="120"/>
      </w:pPr>
      <w:r>
        <w:t xml:space="preserve">C/TPA 24/7 post-accident line: ______________________</w:t>
      </w:r>
    </w:p>
    <w:p>
      <w:pPr>
        <w:spacing w:after="120"/>
      </w:pPr>
    </w:p>
    <w:p>
      <w:pPr>
        <w:spacing w:after="120"/>
      </w:pPr>
      <w:r>
        <w:rPr>
          <w:b/>
          <w:bCs/>
          <w:sz w:val="20"/>
          <w:szCs w:val="20"/>
        </w:rPr>
        <w:t xml:space="preserve">ACTION REQUIRED BEFORE USE: Fill in the blanks above, send this policy to your consortium for confirmation that it matches their collection, laboratory, and Medical Review Officer procedures, then have every covered driver sign the receipt on the last page. This template tracks the federal requirements but is not legal advice.</w:t>
      </w:r>
    </w:p>
    <w:p>
      <w:r>
        <w:br w:type="page"/>
      </w:r>
    </w:p>
    <w:p>
      <w:pPr>
        <w:pStyle w:val="Heading1"/>
      </w:pPr>
      <w:r>
        <w:t xml:space="preserve">1. Purpose</w:t>
      </w:r>
    </w:p>
    <w:p>
      <w:pPr>
        <w:spacing w:after="120"/>
      </w:pPr>
      <w:r>
        <w:t xml:space="preserve">[Your Company Name] is committed to the safety of its employees and the public. This policy implements the U.S. Department of Transportation (DOT) and Federal Motor Carrier Safety Administration (FMCSA) controlled substances and alcohol testing regulations, 49 CFR Part 40 and 49 CFR Part 382. Where this policy and the federal regulations differ, the federal regulations control.</w:t>
      </w:r>
    </w:p>
    <w:p>
      <w:pPr>
        <w:pStyle w:val="Heading1"/>
      </w:pPr>
      <w:r>
        <w:t xml:space="preserve">2. Who Is Covered</w:t>
      </w:r>
    </w:p>
    <w:p>
      <w:pPr>
        <w:spacing w:after="120"/>
      </w:pPr>
      <w:r>
        <w:t xml:space="preserve">Every employee who holds a commercial driver's license (CDL) and operates a commercial motor vehicle requiring a CDL for [Your Company Name], including full-time, part-time, casual, and leased drivers, and owner-operators under contract. Covered drivers are subject to this policy whenever performing safety-sensitive functions: driving, inspecting, loading or unloading, servicing, waiting to be dispatched, or otherwise being ready to operate a CMV.</w:t>
      </w:r>
    </w:p>
    <w:p>
      <w:pPr>
        <w:pStyle w:val="Heading1"/>
      </w:pPr>
      <w:r>
        <w:t xml:space="preserve">3. Prohibited Conduct (49 CFR Part 382, Subpart B)</w:t>
      </w:r>
    </w:p>
    <w:p>
      <w:pPr>
        <w:pStyle w:val="ListParagraph"/>
        <w:numPr>
          <w:ilvl w:val="0"/>
          <w:numId w:val="2"/>
        </w:numPr>
        <w:spacing w:after="100"/>
      </w:pPr>
      <w:r>
        <w:t xml:space="preserve">Reporting for duty or remaining on duty with an alcohol concentration of 0.04 or greater.</w:t>
      </w:r>
    </w:p>
    <w:p>
      <w:pPr>
        <w:pStyle w:val="ListParagraph"/>
        <w:numPr>
          <w:ilvl w:val="0"/>
          <w:numId w:val="2"/>
        </w:numPr>
        <w:spacing w:after="100"/>
      </w:pPr>
      <w:r>
        <w:t xml:space="preserve">Using alcohol while performing safety-sensitive functions.</w:t>
      </w:r>
    </w:p>
    <w:p>
      <w:pPr>
        <w:pStyle w:val="ListParagraph"/>
        <w:numPr>
          <w:ilvl w:val="0"/>
          <w:numId w:val="2"/>
        </w:numPr>
        <w:spacing w:after="100"/>
      </w:pPr>
      <w:r>
        <w:t xml:space="preserve">Using alcohol within 4 hours before performing safety-sensitive functions.</w:t>
      </w:r>
    </w:p>
    <w:p>
      <w:pPr>
        <w:pStyle w:val="ListParagraph"/>
        <w:numPr>
          <w:ilvl w:val="0"/>
          <w:numId w:val="2"/>
        </w:numPr>
        <w:spacing w:after="100"/>
      </w:pPr>
      <w:r>
        <w:t xml:space="preserve">Using alcohol within 8 hours after an accident requiring a post-accident test, or until tested, whichever comes first.</w:t>
      </w:r>
    </w:p>
    <w:p>
      <w:pPr>
        <w:pStyle w:val="ListParagraph"/>
        <w:numPr>
          <w:ilvl w:val="0"/>
          <w:numId w:val="2"/>
        </w:numPr>
        <w:spacing w:after="100"/>
      </w:pPr>
      <w:r>
        <w:t xml:space="preserve">Using any controlled substance, except when prescribed by a licensed medical practitioner who has advised the driver the substance will not adversely affect the ability to safely operate a CMV. Note: marijuana remains prohibited for CDL drivers under federal rules regardless of any state law or prescription.</w:t>
      </w:r>
    </w:p>
    <w:p>
      <w:pPr>
        <w:pStyle w:val="ListParagraph"/>
        <w:numPr>
          <w:ilvl w:val="0"/>
          <w:numId w:val="2"/>
        </w:numPr>
        <w:spacing w:after="100"/>
      </w:pPr>
      <w:r>
        <w:t xml:space="preserve">Reporting for or remaining on duty after testing positive for, or having adulterated or substituted a test for, controlled substances.</w:t>
      </w:r>
    </w:p>
    <w:p>
      <w:pPr>
        <w:pStyle w:val="ListParagraph"/>
        <w:numPr>
          <w:ilvl w:val="0"/>
          <w:numId w:val="2"/>
        </w:numPr>
        <w:spacing w:after="100"/>
      </w:pPr>
      <w:r>
        <w:t xml:space="preserve">Refusing to submit to any required test. A refusal is treated the same as a positive result.</w:t>
      </w:r>
    </w:p>
    <w:p>
      <w:pPr>
        <w:pStyle w:val="Heading1"/>
      </w:pPr>
      <w:r>
        <w:t xml:space="preserve">4. When Testing Occurs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1"/>
              <w:left w:val="single" w:color="CCCCCC" w:sz="1"/>
              <w:bottom w:val="single" w:color="CCCCCC" w:sz="1"/>
              <w:right w:val="single" w:color="CCCCCC" w:sz="1"/>
            </w:tcBorders>
            <w:shd w:fill="1F4E5F" w:val="clear"/>
            <w:tcMar>
              <w:top w:type="dxa" w:w="80"/>
              <w:left w:type="dxa" w:w="120"/>
              <w:bottom w:type="dxa" w:w="80"/>
              <w:right w:type="dxa" w:w="120"/>
            </w:tcMar>
          </w:tcPr>
          <w:p>
            <w:r>
              <w:rPr>
                <w:b/>
                <w:bCs/>
                <w:color w:val="FFFFFF"/>
                <w:sz w:val="20"/>
                <w:szCs w:val="20"/>
              </w:rPr>
              <w:t xml:space="preserve">Test Type</w:t>
            </w:r>
          </w:p>
        </w:tc>
        <w:tc>
          <w:tcPr>
            <w:tcW w:type="dxa" w:w="6960"/>
            <w:tcBorders>
              <w:top w:val="single" w:color="CCCCCC" w:sz="1"/>
              <w:left w:val="single" w:color="CCCCCC" w:sz="1"/>
              <w:bottom w:val="single" w:color="CCCCCC" w:sz="1"/>
              <w:right w:val="single" w:color="CCCCCC" w:sz="1"/>
            </w:tcBorders>
            <w:shd w:fill="1F4E5F" w:val="clear"/>
            <w:tcMar>
              <w:top w:type="dxa" w:w="80"/>
              <w:left w:type="dxa" w:w="120"/>
              <w:bottom w:type="dxa" w:w="80"/>
              <w:right w:type="dxa" w:w="120"/>
            </w:tcMar>
          </w:tcPr>
          <w:p>
            <w:r>
              <w:rPr>
                <w:b/>
                <w:bCs/>
                <w:color w:val="FFFFFF"/>
                <w:sz w:val="20"/>
                <w:szCs w:val="20"/>
              </w:rPr>
              <w:t xml:space="preserve">When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Pre-employment</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Before a driver first performs any safety-sensitive function for the company. A verified negative result must be received before the driver operates a CMV. A full Clearinghouse query is also completed before the first drive.</w:t>
            </w:r>
          </w:p>
        </w:tc>
      </w:tr>
      <w:tr>
        <w:tc>
          <w:tcPr>
            <w:tcW w:type="dxa" w:w="240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Random</w:t>
            </w:r>
          </w:p>
        </w:tc>
        <w:tc>
          <w:tcPr>
            <w:tcW w:type="dxa" w:w="696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Unannounced, spread throughout the year, through the company's consortium pool at the FMCSA-set rates (currently 50% of driver positions for drugs and 10% for alcohol annually). When notified of selection, the driver proceeds to the collection site immediately.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Post-accident</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Required after any accident involving a fatality (always), or after an injury treated away from the scene or a vehicle towed from the scene if the driver receives a citation. Alcohol test within 8 hours; drug test within 32 hours. The driver must remain available for testing and may not consume alcohol for 8 hours or until tested.</w:t>
            </w:r>
          </w:p>
        </w:tc>
      </w:tr>
      <w:tr>
        <w:tc>
          <w:tcPr>
            <w:tcW w:type="dxa" w:w="240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Reasonable suspicion</w:t>
            </w:r>
          </w:p>
        </w:tc>
        <w:tc>
          <w:tcPr>
            <w:tcW w:type="dxa" w:w="696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When a trained supervisor observes specific, contemporaneous, articulable appearance, behavior, speech, or body odors indicating alcohol or controlled substance use. Observations are documented in writing within 24 hours.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Return-to-duty</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After any violation of this policy, before returning to safety-sensitive functions, under the supervision of a Substance Abuse Professional (SAP) per 49 CFR Part 40, Subpart O. Test is directly observed.</w:t>
            </w:r>
          </w:p>
        </w:tc>
      </w:tr>
      <w:tr>
        <w:tc>
          <w:tcPr>
            <w:tcW w:type="dxa" w:w="240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Follow-up</w:t>
            </w:r>
          </w:p>
        </w:tc>
        <w:tc>
          <w:tcPr>
            <w:tcW w:type="dxa" w:w="6960"/>
            <w:tcBorders>
              <w:top w:val="single" w:color="CCCCCC" w:sz="1"/>
              <w:left w:val="single" w:color="CCCCCC" w:sz="1"/>
              <w:bottom w:val="single" w:color="CCCCCC" w:sz="1"/>
              <w:right w:val="single" w:color="CCCCCC" w:sz="1"/>
            </w:tcBorders>
            <w:shd w:fill="F2F6F8" w:val="clear"/>
            <w:tcMar>
              <w:top w:type="dxa" w:w="80"/>
              <w:left w:type="dxa" w:w="120"/>
              <w:bottom w:type="dxa" w:w="80"/>
              <w:right w:type="dxa" w:w="120"/>
            </w:tcMar>
          </w:tcPr>
          <w:p>
            <w:r>
              <w:rPr>
                <w:b w:val="false"/>
                <w:bCs w:val="false"/>
                <w:sz w:val="20"/>
                <w:szCs w:val="20"/>
              </w:rPr>
              <w:t xml:space="preserve">A minimum of 6 unannounced, directly observed tests in the first 12 months after return to duty, as directed by the SAP (may continue up to 60 months).</w:t>
            </w:r>
          </w:p>
        </w:tc>
      </w:tr>
    </w:tbl>
    <w:p>
      <w:pPr>
        <w:pStyle w:val="Heading1"/>
      </w:pPr>
      <w:r>
        <w:t xml:space="preserve">5. Testing Procedures</w:t>
      </w:r>
    </w:p>
    <w:p>
      <w:pPr>
        <w:spacing w:after="120"/>
      </w:pPr>
      <w:r>
        <w:t xml:space="preserve">Controlled substances testing uses urine specimens collected under 49 CFR Part 40 procedures with a split-specimen collection, analyzed by an HHS-certified laboratory for marijuana, cocaine, opioids, amphetamines, and phencyclidine, with results reviewed and verified by a Medical Review Officer (MRO) before being reported to the DER. A driver whose test is verified positive may request testing of the split specimen within 72 hours of MRO notification. Alcohol testing uses screening and confirmation breath tests on evidential breath testing devices administered by trained technicians. All collections are conducted through the company's consortium at its designated collection sites.</w:t>
      </w:r>
    </w:p>
    <w:p>
      <w:pPr>
        <w:pStyle w:val="Heading1"/>
      </w:pPr>
      <w:r>
        <w:t xml:space="preserve">6. What Counts as a Refusal</w:t>
      </w:r>
    </w:p>
    <w:p>
      <w:pPr>
        <w:spacing w:after="120"/>
      </w:pPr>
      <w:r>
        <w:t xml:space="preserve">Failing to appear within a reasonable time after notification; leaving the collection site before the process is complete; failing to provide a specimen without an adequate medical explanation; adulterating or substituting a specimen; failing to cooperate with any part of the process; or, for post-accident tests, failing to remain readily available. A refusal carries the same consequences as a verified positive test.</w:t>
      </w:r>
    </w:p>
    <w:p>
      <w:pPr>
        <w:pStyle w:val="Heading1"/>
      </w:pPr>
      <w:r>
        <w:t xml:space="preserve">7. Consequences of a Violation</w:t>
      </w:r>
    </w:p>
    <w:p>
      <w:pPr>
        <w:pStyle w:val="ListParagraph"/>
        <w:numPr>
          <w:ilvl w:val="0"/>
          <w:numId w:val="3"/>
        </w:numPr>
        <w:spacing w:after="100"/>
      </w:pPr>
      <w:r>
        <w:t xml:space="preserve">Immediate removal from all safety-sensitive functions — no driving, effective the moment the DER receives the result.</w:t>
      </w:r>
    </w:p>
    <w:p>
      <w:pPr>
        <w:pStyle w:val="ListParagraph"/>
        <w:numPr>
          <w:ilvl w:val="0"/>
          <w:numId w:val="3"/>
        </w:numPr>
        <w:spacing w:after="100"/>
      </w:pPr>
      <w:r>
        <w:t xml:space="preserve">The violation is reported to the FMCSA Drug &amp; Alcohol Clearinghouse as required by 49 CFR Part 382, Subpart G.</w:t>
      </w:r>
    </w:p>
    <w:p>
      <w:pPr>
        <w:pStyle w:val="ListParagraph"/>
        <w:numPr>
          <w:ilvl w:val="0"/>
          <w:numId w:val="3"/>
        </w:numPr>
        <w:spacing w:after="100"/>
      </w:pPr>
      <w:r>
        <w:t xml:space="preserve">The driver is provided a list of DOT-qualified Substance Abuse Professionals and may not return to safety-sensitive duty until completing the SAP evaluation, prescribed education/treatment, a negative return-to-duty test, and removal of the prohibited status in the Clearinghouse.</w:t>
      </w:r>
    </w:p>
    <w:p>
      <w:pPr>
        <w:pStyle w:val="ListParagraph"/>
        <w:numPr>
          <w:ilvl w:val="0"/>
          <w:numId w:val="3"/>
        </w:numPr>
        <w:spacing w:after="100"/>
      </w:pPr>
      <w:r>
        <w:t xml:space="preserve">Company employment consequences up to and including termination are determined separately by [Your Company Name] and are in addition to, not instead of, the federal requirements.</w:t>
      </w:r>
    </w:p>
    <w:p>
      <w:pPr>
        <w:pStyle w:val="ListParagraph"/>
        <w:numPr>
          <w:ilvl w:val="0"/>
          <w:numId w:val="3"/>
        </w:numPr>
        <w:spacing w:after="100"/>
      </w:pPr>
      <w:r>
        <w:t xml:space="preserve">An alcohol result of 0.02 to 0.039 requires removal from duty for at least 24 hours even though it is not a federal violation.</w:t>
      </w:r>
    </w:p>
    <w:p>
      <w:pPr>
        <w:pStyle w:val="Heading1"/>
      </w:pPr>
      <w:r>
        <w:t xml:space="preserve">8. Clearinghouse Consent and Queries</w:t>
      </w:r>
    </w:p>
    <w:p>
      <w:pPr>
        <w:spacing w:after="120"/>
      </w:pPr>
      <w:r>
        <w:t xml:space="preserve">The company conducts a full pre-employment Clearinghouse query on every driver before the first safety-sensitive function and a limited query on every driver at least annually. Drivers must register in the Clearinghouse and provide electronic consent for full queries. Refusing consent means the driver cannot perform safety-sensitive functions. Violations by current employees are reported to the Clearinghouse as required.</w:t>
      </w:r>
    </w:p>
    <w:p>
      <w:pPr>
        <w:pStyle w:val="Heading1"/>
      </w:pPr>
      <w:r>
        <w:t xml:space="preserve">9. Confidentiality and Records</w:t>
      </w:r>
    </w:p>
    <w:p>
      <w:pPr>
        <w:spacing w:after="120"/>
      </w:pPr>
      <w:r>
        <w:t xml:space="preserve">Drug and alcohol testing records are confidential, stored in a locked location separate from driver qualification and personnel files, with access limited to the DER and those with a regulatory need to know. Records are retained for the periods required by 49 CFR 382.401 (5 years for positives, refusals, and alcohol results of 0.02 or greater; 2 years for collection process records; 1 year for negative results). Drivers may obtain copies of their own test records on written request.</w:t>
      </w:r>
    </w:p>
    <w:p>
      <w:pPr>
        <w:pStyle w:val="Heading1"/>
      </w:pPr>
      <w:r>
        <w:t xml:space="preserve">10. Voluntary Self-Identification</w:t>
      </w:r>
    </w:p>
    <w:p>
      <w:pPr>
        <w:spacing w:after="120"/>
      </w:pPr>
      <w:r>
        <w:t xml:space="preserve">A driver who voluntarily identifies a substance abuse problem before being notified of a test, and who does so in accordance with company procedure, will be given the opportunity to seek evaluation and treatment and will not be subject to discipline for the disclosure itself, provided the driver does not perform safety-sensitive functions until evaluated and cleared. This provision does not excuse a positive test or a refusal.</w:t>
      </w:r>
    </w:p>
    <w:p>
      <w:pPr>
        <w:pStyle w:val="Heading1"/>
      </w:pPr>
      <w:r>
        <w:t xml:space="preserve">11. Questions</w:t>
      </w:r>
    </w:p>
    <w:p>
      <w:pPr>
        <w:spacing w:after="120"/>
      </w:pPr>
      <w:r>
        <w:t xml:space="preserve">Questions about this policy, testing procedures, or the Clearinghouse go to the DER named on page 1. Educational materials on the signs, symptoms, and effects of alcohol misuse and controlled substance use are available from the DER and the consortium.</w:t>
      </w:r>
    </w:p>
    <w:p>
      <w:r>
        <w:br w:type="page"/>
      </w:r>
    </w:p>
    <w:p>
      <w:pPr>
        <w:pStyle w:val="Heading1"/>
      </w:pPr>
      <w:r>
        <w:t xml:space="preserve">Driver Receipt and Acknowledgment</w:t>
      </w:r>
    </w:p>
    <w:p>
      <w:pPr>
        <w:spacing w:after="120"/>
      </w:pPr>
      <w:r>
        <w:t xml:space="preserve">I acknowledge that I have received a copy of the [Your Company Name] DOT Drug and Alcohol Testing Policy, that I have had the opportunity to ask questions about it, and that I understand I am subject to pre-employment, random, post-accident, reasonable suspicion, return-to-duty, and follow-up testing under 49 CFR Parts 40 and 382 as a condition of performing safety-sensitive functions.</w:t>
      </w:r>
    </w:p>
    <w:p>
      <w:pPr>
        <w:spacing w:after="120"/>
      </w:pPr>
    </w:p>
    <w:p>
      <w:pPr>
        <w:spacing w:after="120"/>
      </w:pPr>
      <w:r>
        <w:t xml:space="preserve">Driver name (print): ________________________________________</w:t>
      </w:r>
    </w:p>
    <w:p>
      <w:pPr>
        <w:spacing w:after="120"/>
      </w:pPr>
    </w:p>
    <w:p>
      <w:pPr>
        <w:spacing w:after="120"/>
      </w:pPr>
      <w:r>
        <w:t xml:space="preserve">Driver signature: ________________________________________</w:t>
      </w:r>
    </w:p>
    <w:p>
      <w:pPr>
        <w:spacing w:after="120"/>
      </w:pPr>
    </w:p>
    <w:p>
      <w:pPr>
        <w:spacing w:after="120"/>
      </w:pPr>
      <w:r>
        <w:t xml:space="preserve">Date: ________________________________________</w:t>
      </w:r>
    </w:p>
    <w:p>
      <w:pPr>
        <w:spacing w:after="120"/>
      </w:pPr>
    </w:p>
    <w:p>
      <w:pPr>
        <w:spacing w:after="120"/>
      </w:pPr>
      <w:r>
        <w:t xml:space="preserve">CDL number / state: ________________________________________</w:t>
      </w:r>
    </w:p>
    <w:p>
      <w:pPr>
        <w:spacing w:after="120"/>
      </w:pPr>
    </w:p>
    <w:p>
      <w:pPr>
        <w:spacing w:after="120"/>
      </w:pPr>
      <w:r>
        <w:rPr>
          <w:i/>
          <w:iCs/>
          <w:sz w:val="20"/>
          <w:szCs w:val="20"/>
        </w:rPr>
        <w:t xml:space="preserve">File this signed page in the driver's Drug &amp; Alcohol file (Binder C).</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[Your Company Name] — DOT Drug &amp; Alcohol Policy — template from about-trash.com — 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F4E5F"/>
      <w:sz w:val="32"/>
      <w:szCs w:val="32"/>
    </w:rPr>
  </w:style>
  <w:style w:type="paragraph" w:styleId="Heading2">
    <w:name w:val="Heading 2"/>
    <w:basedOn w:val="Normal"/>
    <w:next w:val="Normal"/>
    <w:qFormat/>
    <w:pPr>
      <w:spacing w:after="140" w:before="220"/>
      <w:outlineLvl w:val="1"/>
    </w:pPr>
    <w:rPr>
      <w:rFonts w:ascii="Arial" w:cs="Arial" w:eastAsia="Arial" w:hAnsi="Arial"/>
      <w:b/>
      <w:bCs/>
      <w:color w:val="2E6B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2026-06-09T22:46:23.282Z</dcterms:created>
  <dcterms:modified xsi:type="dcterms:W3CDTF">2026-06-09T22:46:23.282Z</dcterms:modified>
</cp:coreProperties>
</file>

<file path=docProps/custom.xml><?xml version="1.0" encoding="utf-8"?>
<Properties xmlns="http://schemas.openxmlformats.org/officeDocument/2006/custom-properties" xmlns:vt="http://schemas.openxmlformats.org/officeDocument/2006/docPropsVTypes"/>
</file>